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28D1" w14:textId="07C3E4A5" w:rsidR="007B005B" w:rsidRDefault="000F5EFA" w:rsidP="000F5EFA">
      <w:pPr>
        <w:tabs>
          <w:tab w:val="left" w:pos="3970"/>
        </w:tabs>
        <w:rPr>
          <w:rFonts w:cstheme="minorHAnsi"/>
          <w:sz w:val="28"/>
          <w:szCs w:val="28"/>
          <w:lang w:val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461D7" wp14:editId="23392DE2">
            <wp:simplePos x="0" y="0"/>
            <wp:positionH relativeFrom="column">
              <wp:posOffset>-469900</wp:posOffset>
            </wp:positionH>
            <wp:positionV relativeFrom="paragraph">
              <wp:posOffset>614680</wp:posOffset>
            </wp:positionV>
            <wp:extent cx="42005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551" y="21098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D0" w:rsidRPr="00FC60D0">
        <w:rPr>
          <w:rFonts w:cstheme="minorHAnsi"/>
          <w:noProof/>
          <w:sz w:val="28"/>
          <w:szCs w:val="28"/>
        </w:rPr>
        <w:drawing>
          <wp:anchor distT="0" distB="288290" distL="114300" distR="114300" simplePos="0" relativeHeight="251659264" behindDoc="0" locked="0" layoutInCell="1" allowOverlap="1" wp14:anchorId="4F61A6C7" wp14:editId="08D18ADB">
            <wp:simplePos x="0" y="0"/>
            <wp:positionH relativeFrom="margin">
              <wp:posOffset>-914400</wp:posOffset>
            </wp:positionH>
            <wp:positionV relativeFrom="margin">
              <wp:posOffset>-897775</wp:posOffset>
            </wp:positionV>
            <wp:extent cx="7560137" cy="2201661"/>
            <wp:effectExtent l="0" t="0" r="4445" b="9525"/>
            <wp:wrapThrough wrapText="bothSides">
              <wp:wrapPolygon edited="0">
                <wp:start x="0" y="0"/>
                <wp:lineTo x="0" y="21506"/>
                <wp:lineTo x="21558" y="21506"/>
                <wp:lineTo x="21558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60" cy="22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en-AU"/>
        </w:rPr>
        <w:tab/>
      </w:r>
      <w:bookmarkStart w:id="0" w:name="_GoBack"/>
      <w:bookmarkEnd w:id="0"/>
    </w:p>
    <w:p w14:paraId="41A1C479" w14:textId="77777777" w:rsidR="005D22EF" w:rsidRPr="00C3422B" w:rsidRDefault="00443CA0">
      <w:pPr>
        <w:rPr>
          <w:rFonts w:cstheme="minorHAnsi"/>
          <w:sz w:val="28"/>
          <w:szCs w:val="28"/>
          <w:lang w:val="en-AU"/>
        </w:rPr>
      </w:pPr>
      <w:r w:rsidRPr="00C3422B">
        <w:rPr>
          <w:rFonts w:cstheme="minorHAnsi"/>
          <w:sz w:val="28"/>
          <w:szCs w:val="28"/>
          <w:lang w:val="en-AU"/>
        </w:rPr>
        <w:t>Scaffolding Checklist</w:t>
      </w:r>
    </w:p>
    <w:p w14:paraId="75FB3B08" w14:textId="77777777" w:rsidR="00443CA0" w:rsidRDefault="00443CA0">
      <w:pPr>
        <w:rPr>
          <w:rFonts w:cstheme="minorHAnsi"/>
          <w:sz w:val="20"/>
          <w:szCs w:val="20"/>
          <w:lang w:val="en-AU"/>
        </w:rPr>
      </w:pPr>
      <w:r w:rsidRPr="00D44CF1">
        <w:rPr>
          <w:rFonts w:cstheme="minorHAnsi"/>
          <w:sz w:val="20"/>
          <w:szCs w:val="20"/>
          <w:lang w:val="en-AU"/>
        </w:rPr>
        <w:t>Site Address:</w:t>
      </w:r>
      <w:r w:rsidR="00C3422B">
        <w:rPr>
          <w:rFonts w:cstheme="minorHAnsi"/>
          <w:sz w:val="20"/>
          <w:szCs w:val="20"/>
          <w:lang w:val="en-AU"/>
        </w:rPr>
        <w:t xml:space="preserve"> __________________________________________________________________________________</w:t>
      </w:r>
    </w:p>
    <w:p w14:paraId="4214A362" w14:textId="77777777" w:rsidR="00C3422B" w:rsidRPr="00D44CF1" w:rsidRDefault="00C3422B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>Site Manager:__________________________________________________________________________________</w:t>
      </w:r>
    </w:p>
    <w:p w14:paraId="2CCCBBA6" w14:textId="77777777" w:rsidR="00443CA0" w:rsidRDefault="00443CA0">
      <w:pPr>
        <w:rPr>
          <w:rFonts w:cstheme="minorHAnsi"/>
          <w:sz w:val="20"/>
          <w:szCs w:val="20"/>
          <w:lang w:val="en-AU"/>
        </w:rPr>
      </w:pPr>
      <w:r w:rsidRPr="00D44CF1">
        <w:rPr>
          <w:rFonts w:cstheme="minorHAnsi"/>
          <w:sz w:val="20"/>
          <w:szCs w:val="20"/>
          <w:lang w:val="en-AU"/>
        </w:rPr>
        <w:t>Scaffold Location:</w:t>
      </w:r>
      <w:r w:rsidR="00C3422B">
        <w:rPr>
          <w:rFonts w:cstheme="minorHAnsi"/>
          <w:sz w:val="20"/>
          <w:szCs w:val="20"/>
          <w:lang w:val="en-AU"/>
        </w:rPr>
        <w:t>_______________________________________________________________________________</w:t>
      </w:r>
    </w:p>
    <w:p w14:paraId="45478900" w14:textId="77777777" w:rsidR="00C3422B" w:rsidRDefault="00C3422B">
      <w:pPr>
        <w:rPr>
          <w:rFonts w:cstheme="min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6466"/>
      </w:tblGrid>
      <w:tr w:rsidR="00C3422B" w14:paraId="4B550A56" w14:textId="77777777" w:rsidTr="00C3422B">
        <w:tc>
          <w:tcPr>
            <w:tcW w:w="3227" w:type="dxa"/>
            <w:shd w:val="clear" w:color="auto" w:fill="DBE5F1" w:themeFill="accent1" w:themeFillTint="33"/>
          </w:tcPr>
          <w:p w14:paraId="645F9998" w14:textId="77777777" w:rsidR="00C3422B" w:rsidRPr="00C3422B" w:rsidRDefault="00C3422B" w:rsidP="006F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shall implement:</w:t>
            </w:r>
          </w:p>
        </w:tc>
        <w:tc>
          <w:tcPr>
            <w:tcW w:w="7455" w:type="dxa"/>
          </w:tcPr>
          <w:p w14:paraId="429438D5" w14:textId="77777777" w:rsidR="00C3422B" w:rsidRPr="00C3422B" w:rsidRDefault="00C3422B" w:rsidP="006F0320">
            <w:pPr>
              <w:rPr>
                <w:sz w:val="20"/>
                <w:szCs w:val="20"/>
              </w:rPr>
            </w:pPr>
            <w:r w:rsidRPr="00C3422B">
              <w:rPr>
                <w:sz w:val="20"/>
                <w:szCs w:val="20"/>
              </w:rPr>
              <w:t>Employer / Responsible Person acting on behalf of Employer (i.e. site manager or safety officer)</w:t>
            </w:r>
          </w:p>
        </w:tc>
      </w:tr>
      <w:tr w:rsidR="00C3422B" w14:paraId="43B39A99" w14:textId="77777777" w:rsidTr="00C3422B">
        <w:tc>
          <w:tcPr>
            <w:tcW w:w="3227" w:type="dxa"/>
            <w:shd w:val="clear" w:color="auto" w:fill="DBE5F1" w:themeFill="accent1" w:themeFillTint="33"/>
          </w:tcPr>
          <w:p w14:paraId="187A5F9C" w14:textId="77777777" w:rsidR="00C3422B" w:rsidRPr="00C3422B" w:rsidRDefault="00C3422B" w:rsidP="006F0320">
            <w:pPr>
              <w:rPr>
                <w:b/>
                <w:sz w:val="20"/>
                <w:szCs w:val="20"/>
              </w:rPr>
            </w:pPr>
            <w:r w:rsidRPr="00C3422B">
              <w:rPr>
                <w:b/>
                <w:sz w:val="20"/>
                <w:szCs w:val="20"/>
              </w:rPr>
              <w:t>When to implement:</w:t>
            </w:r>
          </w:p>
        </w:tc>
        <w:tc>
          <w:tcPr>
            <w:tcW w:w="7455" w:type="dxa"/>
          </w:tcPr>
          <w:p w14:paraId="29B29966" w14:textId="77777777" w:rsidR="00C3422B" w:rsidRPr="00C3422B" w:rsidRDefault="00C3422B" w:rsidP="00C3422B">
            <w:pPr>
              <w:rPr>
                <w:sz w:val="20"/>
                <w:szCs w:val="20"/>
              </w:rPr>
            </w:pPr>
            <w:r w:rsidRPr="00C3422B">
              <w:rPr>
                <w:sz w:val="20"/>
                <w:szCs w:val="20"/>
              </w:rPr>
              <w:t xml:space="preserve">Before the commencement of the contractors high risk construction activity and as necessary </w:t>
            </w:r>
          </w:p>
        </w:tc>
      </w:tr>
      <w:tr w:rsidR="00C3422B" w14:paraId="548B3BCA" w14:textId="77777777" w:rsidTr="00C3422B">
        <w:tc>
          <w:tcPr>
            <w:tcW w:w="3227" w:type="dxa"/>
            <w:shd w:val="clear" w:color="auto" w:fill="DBE5F1" w:themeFill="accent1" w:themeFillTint="33"/>
          </w:tcPr>
          <w:p w14:paraId="5C3EB06E" w14:textId="77777777" w:rsidR="00C3422B" w:rsidRPr="00C3422B" w:rsidRDefault="00C3422B" w:rsidP="006F0320">
            <w:pPr>
              <w:rPr>
                <w:b/>
                <w:sz w:val="20"/>
                <w:szCs w:val="20"/>
              </w:rPr>
            </w:pPr>
            <w:r w:rsidRPr="00C3422B">
              <w:rPr>
                <w:b/>
                <w:sz w:val="20"/>
                <w:szCs w:val="20"/>
              </w:rPr>
              <w:t>How to use / implement:</w:t>
            </w:r>
          </w:p>
        </w:tc>
        <w:tc>
          <w:tcPr>
            <w:tcW w:w="7455" w:type="dxa"/>
          </w:tcPr>
          <w:p w14:paraId="6C03456C" w14:textId="77777777" w:rsidR="00C3422B" w:rsidRPr="00C3422B" w:rsidRDefault="00C3422B" w:rsidP="00C3422B">
            <w:pPr>
              <w:rPr>
                <w:sz w:val="20"/>
                <w:szCs w:val="20"/>
              </w:rPr>
            </w:pPr>
            <w:r w:rsidRPr="00C3422B">
              <w:rPr>
                <w:sz w:val="20"/>
                <w:szCs w:val="20"/>
              </w:rPr>
              <w:t xml:space="preserve">The responsible person must use this checklist and </w:t>
            </w:r>
            <w:r>
              <w:rPr>
                <w:sz w:val="20"/>
                <w:szCs w:val="20"/>
              </w:rPr>
              <w:t>continually review when changes to the Scaffold take place</w:t>
            </w:r>
          </w:p>
        </w:tc>
      </w:tr>
    </w:tbl>
    <w:p w14:paraId="7C81A273" w14:textId="77777777" w:rsidR="00C3422B" w:rsidRPr="001F3730" w:rsidRDefault="00C3422B">
      <w:pPr>
        <w:rPr>
          <w:rFonts w:cstheme="minorHAnsi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830"/>
        <w:gridCol w:w="829"/>
        <w:gridCol w:w="833"/>
        <w:gridCol w:w="2041"/>
      </w:tblGrid>
      <w:tr w:rsidR="00443CA0" w:rsidRPr="001F3730" w14:paraId="3787E584" w14:textId="77777777" w:rsidTr="00443CA0">
        <w:tc>
          <w:tcPr>
            <w:tcW w:w="4928" w:type="dxa"/>
          </w:tcPr>
          <w:p w14:paraId="14420F77" w14:textId="77777777" w:rsidR="00443CA0" w:rsidRPr="001F3730" w:rsidRDefault="00443CA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1F3730">
              <w:rPr>
                <w:rFonts w:cstheme="minorHAnsi"/>
                <w:b/>
                <w:sz w:val="20"/>
                <w:szCs w:val="20"/>
                <w:lang w:val="en-AU"/>
              </w:rPr>
              <w:t>Question</w:t>
            </w:r>
          </w:p>
        </w:tc>
        <w:tc>
          <w:tcPr>
            <w:tcW w:w="850" w:type="dxa"/>
          </w:tcPr>
          <w:p w14:paraId="4557FB1B" w14:textId="77777777" w:rsidR="00443CA0" w:rsidRPr="001F3730" w:rsidRDefault="00443CA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1F3730">
              <w:rPr>
                <w:rFonts w:cstheme="minorHAnsi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851" w:type="dxa"/>
          </w:tcPr>
          <w:p w14:paraId="5B492176" w14:textId="77777777" w:rsidR="00443CA0" w:rsidRPr="001F3730" w:rsidRDefault="00443CA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1F3730">
              <w:rPr>
                <w:rFonts w:cstheme="minorHAnsi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850" w:type="dxa"/>
          </w:tcPr>
          <w:p w14:paraId="1F957FDD" w14:textId="77777777" w:rsidR="00443CA0" w:rsidRPr="001F3730" w:rsidRDefault="00443CA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1F3730">
              <w:rPr>
                <w:rFonts w:cstheme="minorHAnsi"/>
                <w:b/>
                <w:sz w:val="20"/>
                <w:szCs w:val="20"/>
                <w:lang w:val="en-AU"/>
              </w:rPr>
              <w:t>N/A</w:t>
            </w:r>
          </w:p>
        </w:tc>
        <w:tc>
          <w:tcPr>
            <w:tcW w:w="2097" w:type="dxa"/>
          </w:tcPr>
          <w:p w14:paraId="45570C83" w14:textId="77777777" w:rsidR="00443CA0" w:rsidRPr="001F3730" w:rsidRDefault="00443CA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1F3730">
              <w:rPr>
                <w:rFonts w:cstheme="minorHAnsi"/>
                <w:b/>
                <w:sz w:val="20"/>
                <w:szCs w:val="20"/>
                <w:lang w:val="en-AU"/>
              </w:rPr>
              <w:t>Comments</w:t>
            </w:r>
          </w:p>
        </w:tc>
      </w:tr>
      <w:tr w:rsidR="00443CA0" w:rsidRPr="00C3422B" w14:paraId="71CFDF4D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737CD051" w14:textId="77777777" w:rsidR="00443CA0" w:rsidRPr="00C3422B" w:rsidRDefault="00443CA0" w:rsidP="00420D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>Documentation/Signage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650ABB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FD746F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0C97AB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7C76BA2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F8B9721" w14:textId="77777777" w:rsidTr="00443CA0">
        <w:tc>
          <w:tcPr>
            <w:tcW w:w="4928" w:type="dxa"/>
          </w:tcPr>
          <w:p w14:paraId="4EB68049" w14:textId="77777777" w:rsidR="00443CA0" w:rsidRPr="00C3422B" w:rsidRDefault="00443CA0" w:rsidP="00443CA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>1.1</w:t>
            </w: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Is there are handover certificate for the Scaffold?</w:t>
            </w:r>
          </w:p>
        </w:tc>
        <w:tc>
          <w:tcPr>
            <w:tcW w:w="850" w:type="dxa"/>
          </w:tcPr>
          <w:p w14:paraId="4A645F5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7AA58E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D20AC7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5986482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EB73262" w14:textId="77777777" w:rsidTr="00443CA0">
        <w:tc>
          <w:tcPr>
            <w:tcW w:w="4928" w:type="dxa"/>
          </w:tcPr>
          <w:p w14:paraId="793189FA" w14:textId="77777777" w:rsidR="00443CA0" w:rsidRPr="00C3422B" w:rsidRDefault="00443CA0" w:rsidP="00443CA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>1.2</w:t>
            </w: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Is there a current scaffold tag displayed in an obvious location (EG: scaffold access points)</w:t>
            </w:r>
          </w:p>
        </w:tc>
        <w:tc>
          <w:tcPr>
            <w:tcW w:w="850" w:type="dxa"/>
          </w:tcPr>
          <w:p w14:paraId="7C87367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6A41CD7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9755F9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6E2327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305931E" w14:textId="77777777" w:rsidTr="00443CA0">
        <w:tc>
          <w:tcPr>
            <w:tcW w:w="4928" w:type="dxa"/>
          </w:tcPr>
          <w:p w14:paraId="6514BF0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>1.3</w:t>
            </w:r>
            <w:r w:rsidR="00420DD9" w:rsidRPr="00C3422B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420DD9" w:rsidRPr="00C3422B">
              <w:rPr>
                <w:rFonts w:cstheme="minorHAnsi"/>
                <w:color w:val="231F20"/>
                <w:sz w:val="20"/>
                <w:szCs w:val="20"/>
              </w:rPr>
              <w:t>Does the scaffold tag indicate the duty rating per bay?</w:t>
            </w:r>
          </w:p>
        </w:tc>
        <w:tc>
          <w:tcPr>
            <w:tcW w:w="850" w:type="dxa"/>
          </w:tcPr>
          <w:p w14:paraId="67F253A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5680FAA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D1C943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3C6FAB2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E4C11DC" w14:textId="77777777" w:rsidTr="00443CA0">
        <w:tc>
          <w:tcPr>
            <w:tcW w:w="4928" w:type="dxa"/>
          </w:tcPr>
          <w:p w14:paraId="27E9B639" w14:textId="77777777" w:rsidR="00443CA0" w:rsidRPr="00C3422B" w:rsidRDefault="00420DD9" w:rsidP="00420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there any signage indicating “No Entry, Scaffold Incomplete” or “Men Working Overhead” where required?</w:t>
            </w:r>
          </w:p>
        </w:tc>
        <w:tc>
          <w:tcPr>
            <w:tcW w:w="850" w:type="dxa"/>
          </w:tcPr>
          <w:p w14:paraId="4C0077C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8FF192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D74D88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6A40B2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F01A961" w14:textId="77777777" w:rsidTr="00443CA0">
        <w:tc>
          <w:tcPr>
            <w:tcW w:w="4928" w:type="dxa"/>
          </w:tcPr>
          <w:p w14:paraId="2755FE17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1.5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incomplete scaffolding platforms blocked with a physical barrier as well as signage?</w:t>
            </w:r>
          </w:p>
        </w:tc>
        <w:tc>
          <w:tcPr>
            <w:tcW w:w="850" w:type="dxa"/>
          </w:tcPr>
          <w:p w14:paraId="290171A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772D1F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AEDBB9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D422E9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2B0D2AE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4DCB97E6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</w:rPr>
              <w:t xml:space="preserve">      2</w:t>
            </w:r>
            <w:r w:rsidRPr="00C3422B">
              <w:rPr>
                <w:rFonts w:cstheme="minorHAnsi"/>
                <w:sz w:val="20"/>
                <w:szCs w:val="20"/>
              </w:rPr>
              <w:t>. Foundations. Soleplates/base plates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68F2C1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D9B70E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F46519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67B5C0C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6AAFB3C" w14:textId="77777777" w:rsidTr="00443CA0">
        <w:tc>
          <w:tcPr>
            <w:tcW w:w="4928" w:type="dxa"/>
          </w:tcPr>
          <w:p w14:paraId="148F2EE3" w14:textId="77777777" w:rsidR="00443CA0" w:rsidRPr="00C3422B" w:rsidRDefault="00420DD9" w:rsidP="00420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2.1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soleplates (where required on soft ground) in good condition and are they secured or positioned to prevent them being dislodged?</w:t>
            </w:r>
          </w:p>
        </w:tc>
        <w:tc>
          <w:tcPr>
            <w:tcW w:w="850" w:type="dxa"/>
          </w:tcPr>
          <w:p w14:paraId="54066D7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5A3490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43450C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560AC81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10860FA7" w14:textId="77777777" w:rsidTr="00443CA0">
        <w:tc>
          <w:tcPr>
            <w:tcW w:w="4928" w:type="dxa"/>
          </w:tcPr>
          <w:p w14:paraId="187527AF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2.2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trenching or other excavation works isolated from the vicinity of soleplates?</w:t>
            </w:r>
          </w:p>
        </w:tc>
        <w:tc>
          <w:tcPr>
            <w:tcW w:w="850" w:type="dxa"/>
          </w:tcPr>
          <w:p w14:paraId="618013D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98683A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874DE3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67D508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EEF0356" w14:textId="77777777" w:rsidTr="00443CA0">
        <w:tc>
          <w:tcPr>
            <w:tcW w:w="4928" w:type="dxa"/>
          </w:tcPr>
          <w:p w14:paraId="02132249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2.3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base plates positioned centrally on the soleplates?</w:t>
            </w:r>
          </w:p>
        </w:tc>
        <w:tc>
          <w:tcPr>
            <w:tcW w:w="850" w:type="dxa"/>
          </w:tcPr>
          <w:p w14:paraId="3316E8D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0F055C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6F17AEE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A9E88B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8E510C4" w14:textId="77777777" w:rsidTr="00443CA0">
        <w:tc>
          <w:tcPr>
            <w:tcW w:w="4928" w:type="dxa"/>
          </w:tcPr>
          <w:p w14:paraId="225FB8A9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lastRenderedPageBreak/>
              <w:t>2.4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the standards sitting plumb and firm on the base plates?</w:t>
            </w:r>
          </w:p>
        </w:tc>
        <w:tc>
          <w:tcPr>
            <w:tcW w:w="850" w:type="dxa"/>
          </w:tcPr>
          <w:p w14:paraId="4D3BEAA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EA52E6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1F11DC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A10FDC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1B9B76C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56C0F5A2" w14:textId="77777777" w:rsidR="00443CA0" w:rsidRPr="00C3422B" w:rsidRDefault="00420DD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</w:rPr>
              <w:t xml:space="preserve">      3</w:t>
            </w:r>
            <w:r w:rsidRPr="00C3422B">
              <w:rPr>
                <w:rFonts w:cstheme="minorHAnsi"/>
                <w:sz w:val="20"/>
                <w:szCs w:val="20"/>
              </w:rPr>
              <w:t xml:space="preserve">. </w:t>
            </w:r>
            <w:r w:rsidRPr="00C3422B">
              <w:rPr>
                <w:rFonts w:cstheme="minorHAnsi"/>
                <w:b/>
                <w:sz w:val="20"/>
                <w:szCs w:val="20"/>
              </w:rPr>
              <w:t>Isolation from mobile plant &amp; other vehicles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39C3E2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C09A3D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8DEDC4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8B6391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7448E0D" w14:textId="77777777" w:rsidTr="00443CA0">
        <w:tc>
          <w:tcPr>
            <w:tcW w:w="4928" w:type="dxa"/>
          </w:tcPr>
          <w:p w14:paraId="6CBE7250" w14:textId="77777777" w:rsidR="00443CA0" w:rsidRPr="00C3422B" w:rsidRDefault="00420DD9" w:rsidP="00420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3.1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there a system in place (</w:t>
            </w:r>
            <w:proofErr w:type="spellStart"/>
            <w:r w:rsidRPr="00C3422B">
              <w:rPr>
                <w:rFonts w:cstheme="minorHAnsi"/>
                <w:color w:val="231F20"/>
                <w:sz w:val="20"/>
                <w:szCs w:val="20"/>
              </w:rPr>
              <w:t>eg</w:t>
            </w:r>
            <w:proofErr w:type="spellEnd"/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blocks, para-webbing, hoarding, traffic management) to prevent the scaffold being struck by vehicles or plant moving in close proximity to the scaffold?</w:t>
            </w:r>
          </w:p>
        </w:tc>
        <w:tc>
          <w:tcPr>
            <w:tcW w:w="850" w:type="dxa"/>
          </w:tcPr>
          <w:p w14:paraId="61345D3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0E93EC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F1A47C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E40CEA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2E377D1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6C0A30BB" w14:textId="77777777" w:rsidR="00443CA0" w:rsidRPr="00C3422B" w:rsidRDefault="007445F5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     </w:t>
            </w:r>
            <w:r w:rsidRPr="00C3422B">
              <w:rPr>
                <w:rFonts w:cstheme="minorHAnsi"/>
                <w:b/>
                <w:sz w:val="20"/>
                <w:szCs w:val="20"/>
                <w:shd w:val="clear" w:color="auto" w:fill="DBE5F1" w:themeFill="accent1" w:themeFillTint="33"/>
              </w:rPr>
              <w:t>4. Scaffold Structure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DFC75F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9472EB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AD8317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52EDABC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A6F6AF3" w14:textId="77777777" w:rsidTr="00443CA0">
        <w:tc>
          <w:tcPr>
            <w:tcW w:w="4928" w:type="dxa"/>
          </w:tcPr>
          <w:p w14:paraId="6B7838D5" w14:textId="77777777" w:rsidR="00443CA0" w:rsidRPr="00C3422B" w:rsidRDefault="007445F5" w:rsidP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4.1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>Are the standards plumb through the full height?</w:t>
            </w:r>
          </w:p>
        </w:tc>
        <w:tc>
          <w:tcPr>
            <w:tcW w:w="850" w:type="dxa"/>
          </w:tcPr>
          <w:p w14:paraId="7E292E2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CDC78C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112C98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8C937D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CE21AA0" w14:textId="77777777" w:rsidTr="00443CA0">
        <w:tc>
          <w:tcPr>
            <w:tcW w:w="4928" w:type="dxa"/>
          </w:tcPr>
          <w:p w14:paraId="4F66D4A7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4.2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ledgers and transoms level?</w:t>
            </w:r>
          </w:p>
        </w:tc>
        <w:tc>
          <w:tcPr>
            <w:tcW w:w="850" w:type="dxa"/>
          </w:tcPr>
          <w:p w14:paraId="36F8E57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5887F3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6085518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59554C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90CC69B" w14:textId="77777777" w:rsidTr="00443CA0">
        <w:tc>
          <w:tcPr>
            <w:tcW w:w="4928" w:type="dxa"/>
          </w:tcPr>
          <w:p w14:paraId="09245F25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4.3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bracing in place at the traverse ends of the scaffold?</w:t>
            </w:r>
          </w:p>
        </w:tc>
        <w:tc>
          <w:tcPr>
            <w:tcW w:w="850" w:type="dxa"/>
          </w:tcPr>
          <w:p w14:paraId="5362BB0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DADB1F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B903F7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7DECA8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84AE8A8" w14:textId="77777777" w:rsidTr="00443CA0">
        <w:tc>
          <w:tcPr>
            <w:tcW w:w="4928" w:type="dxa"/>
          </w:tcPr>
          <w:p w14:paraId="0A2C042D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4.4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Does bracing extend to the full height?</w:t>
            </w:r>
          </w:p>
        </w:tc>
        <w:tc>
          <w:tcPr>
            <w:tcW w:w="850" w:type="dxa"/>
          </w:tcPr>
          <w:p w14:paraId="55A8D9F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9BF75C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1156BD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3DD610A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9A7E868" w14:textId="77777777" w:rsidTr="00443CA0">
        <w:tc>
          <w:tcPr>
            <w:tcW w:w="4928" w:type="dxa"/>
          </w:tcPr>
          <w:p w14:paraId="4CCC6220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4.5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platforms limited to no more than 2 full working decks?*</w:t>
            </w:r>
          </w:p>
        </w:tc>
        <w:tc>
          <w:tcPr>
            <w:tcW w:w="850" w:type="dxa"/>
          </w:tcPr>
          <w:p w14:paraId="57DD517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608A6AD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932821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1B4A19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96E98FD" w14:textId="77777777" w:rsidTr="00443CA0">
        <w:tc>
          <w:tcPr>
            <w:tcW w:w="4928" w:type="dxa"/>
          </w:tcPr>
          <w:p w14:paraId="698BD3B7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4.6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Have </w:t>
            </w:r>
            <w:proofErr w:type="spellStart"/>
            <w:r w:rsidRPr="00C3422B">
              <w:rPr>
                <w:rFonts w:cstheme="minorHAnsi"/>
                <w:color w:val="231F20"/>
                <w:sz w:val="20"/>
                <w:szCs w:val="20"/>
              </w:rPr>
              <w:t>unauthorised</w:t>
            </w:r>
            <w:proofErr w:type="spellEnd"/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additions, attachments or improvisations to the scaffold been eliminated?</w:t>
            </w:r>
          </w:p>
        </w:tc>
        <w:tc>
          <w:tcPr>
            <w:tcW w:w="850" w:type="dxa"/>
          </w:tcPr>
          <w:p w14:paraId="34460FF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EDE38B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E3285B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341ABF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E06850C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52F00A96" w14:textId="77777777" w:rsidR="00443CA0" w:rsidRPr="00C3422B" w:rsidRDefault="007445F5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5. Access and Egress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DD2ECD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FD3DCF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DD12E7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5CF1A9A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C2FF4EC" w14:textId="77777777" w:rsidTr="00443CA0">
        <w:tc>
          <w:tcPr>
            <w:tcW w:w="4928" w:type="dxa"/>
          </w:tcPr>
          <w:p w14:paraId="1B2AF03C" w14:textId="77777777" w:rsidR="00443CA0" w:rsidRPr="00C3422B" w:rsidRDefault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5.1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there access and egress to all working platforms from the ground?</w:t>
            </w:r>
          </w:p>
        </w:tc>
        <w:tc>
          <w:tcPr>
            <w:tcW w:w="850" w:type="dxa"/>
          </w:tcPr>
          <w:p w14:paraId="594EDD3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189D31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F73C4B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74F670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CFA5EDD" w14:textId="77777777" w:rsidTr="00443CA0">
        <w:tc>
          <w:tcPr>
            <w:tcW w:w="4928" w:type="dxa"/>
          </w:tcPr>
          <w:p w14:paraId="16D3CDF0" w14:textId="77777777" w:rsidR="00443CA0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5.2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If there is access from the structure, has adequate fall protection been installed between the structure and scaffold?</w:t>
            </w:r>
          </w:p>
        </w:tc>
        <w:tc>
          <w:tcPr>
            <w:tcW w:w="850" w:type="dxa"/>
          </w:tcPr>
          <w:p w14:paraId="56903F9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6E5323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1C3589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E2999B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11BD8018" w14:textId="77777777" w:rsidTr="00443CA0">
        <w:tc>
          <w:tcPr>
            <w:tcW w:w="4928" w:type="dxa"/>
          </w:tcPr>
          <w:p w14:paraId="1C162146" w14:textId="77777777" w:rsidR="00443CA0" w:rsidRPr="00C3422B" w:rsidRDefault="007445F5">
            <w:pPr>
              <w:rPr>
                <w:rFonts w:cstheme="minorHAnsi"/>
                <w:color w:val="EE1C24"/>
                <w:sz w:val="20"/>
                <w:szCs w:val="20"/>
              </w:rPr>
            </w:pPr>
            <w:r w:rsidRPr="00C3422B">
              <w:rPr>
                <w:rFonts w:cstheme="minorHAnsi"/>
                <w:b/>
                <w:color w:val="FF0000"/>
                <w:sz w:val="20"/>
                <w:szCs w:val="20"/>
                <w:lang w:val="en-AU"/>
              </w:rPr>
              <w:t>5.3</w:t>
            </w:r>
            <w:r w:rsidRPr="00C3422B">
              <w:rPr>
                <w:rFonts w:cstheme="minorHAnsi"/>
                <w:color w:val="FF0000"/>
                <w:sz w:val="20"/>
                <w:szCs w:val="20"/>
                <w:lang w:val="en-AU"/>
              </w:rPr>
              <w:t xml:space="preserve"> 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Where access ladders are used:  </w:t>
            </w:r>
          </w:p>
          <w:p w14:paraId="18073DDE" w14:textId="77777777" w:rsidR="007445F5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color w:val="EE1C24"/>
                <w:sz w:val="20"/>
                <w:szCs w:val="20"/>
              </w:rPr>
            </w:pPr>
            <w:r w:rsidRPr="00C3422B">
              <w:rPr>
                <w:rFonts w:cstheme="minorHAnsi"/>
                <w:color w:val="EE1C24"/>
                <w:sz w:val="20"/>
                <w:szCs w:val="20"/>
              </w:rPr>
              <w:t>• are they fitted internally?</w:t>
            </w:r>
          </w:p>
          <w:p w14:paraId="68DD3368" w14:textId="77777777" w:rsidR="007445F5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color w:val="EE1C24"/>
                <w:sz w:val="20"/>
                <w:szCs w:val="20"/>
              </w:rPr>
            </w:pPr>
            <w:r w:rsidRPr="00C3422B">
              <w:rPr>
                <w:rFonts w:cstheme="minorHAnsi"/>
                <w:color w:val="EE1C24"/>
                <w:sz w:val="20"/>
                <w:szCs w:val="20"/>
              </w:rPr>
              <w:t>• are they adequately secured at the top and bottom?</w:t>
            </w:r>
          </w:p>
          <w:p w14:paraId="0909FABF" w14:textId="77777777" w:rsidR="007445F5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color w:val="EE1C24"/>
                <w:sz w:val="20"/>
                <w:szCs w:val="20"/>
              </w:rPr>
            </w:pPr>
            <w:r w:rsidRPr="00C3422B">
              <w:rPr>
                <w:rFonts w:cstheme="minorHAnsi"/>
                <w:color w:val="EE1C24"/>
                <w:sz w:val="20"/>
                <w:szCs w:val="20"/>
              </w:rPr>
              <w:t>• are they pitched 1:4?</w:t>
            </w:r>
          </w:p>
          <w:p w14:paraId="5EE51C52" w14:textId="77777777" w:rsidR="007445F5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color w:val="EE1C24"/>
                <w:sz w:val="20"/>
                <w:szCs w:val="20"/>
              </w:rPr>
            </w:pPr>
            <w:r w:rsidRPr="00C3422B">
              <w:rPr>
                <w:rFonts w:cstheme="minorHAnsi"/>
                <w:color w:val="EE1C24"/>
                <w:sz w:val="20"/>
                <w:szCs w:val="20"/>
              </w:rPr>
              <w:t>• do they extend 900mm above the landing?</w:t>
            </w:r>
          </w:p>
          <w:p w14:paraId="167C52B4" w14:textId="77777777" w:rsidR="007445F5" w:rsidRPr="00C3422B" w:rsidRDefault="007445F5" w:rsidP="007445F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color w:val="EE1C24"/>
                <w:sz w:val="20"/>
                <w:szCs w:val="20"/>
              </w:rPr>
              <w:t>• are they in good condition and free of defects?</w:t>
            </w:r>
          </w:p>
        </w:tc>
        <w:tc>
          <w:tcPr>
            <w:tcW w:w="850" w:type="dxa"/>
          </w:tcPr>
          <w:p w14:paraId="3A7D7FD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B9EE4C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19BC6A1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C3D965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2DF2BA0" w14:textId="77777777" w:rsidTr="00443CA0">
        <w:tc>
          <w:tcPr>
            <w:tcW w:w="4928" w:type="dxa"/>
          </w:tcPr>
          <w:p w14:paraId="2DE7CF31" w14:textId="77777777" w:rsidR="00443CA0" w:rsidRPr="00C3422B" w:rsidRDefault="007445F5" w:rsidP="007445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5.4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Where access stairs are used, are they bearing squarely and adequately on transoms and are there no excessive gaps between the platform and transoms?</w:t>
            </w:r>
          </w:p>
        </w:tc>
        <w:tc>
          <w:tcPr>
            <w:tcW w:w="850" w:type="dxa"/>
          </w:tcPr>
          <w:p w14:paraId="310466A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0E355C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C5DD0A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361BC84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DD7616C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26997F2E" w14:textId="77777777" w:rsidR="00443CA0" w:rsidRPr="00C3422B" w:rsidRDefault="008360ED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</w:rPr>
              <w:t xml:space="preserve">      6. Electrical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9B0CA5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E4E97F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829837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BA5AC8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AD2DCC3" w14:textId="77777777" w:rsidTr="00443CA0">
        <w:tc>
          <w:tcPr>
            <w:tcW w:w="4928" w:type="dxa"/>
          </w:tcPr>
          <w:p w14:paraId="0AC14B8C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6.1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scaffolding erected beyond the No Go Zone of overhead power lines? (4.6m horizontally either side and 5m vertically above or below power lines)</w:t>
            </w:r>
          </w:p>
        </w:tc>
        <w:tc>
          <w:tcPr>
            <w:tcW w:w="850" w:type="dxa"/>
          </w:tcPr>
          <w:p w14:paraId="347BEF2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191CAD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11E50C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30D932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17A09D43" w14:textId="77777777" w:rsidTr="00443CA0">
        <w:tc>
          <w:tcPr>
            <w:tcW w:w="4928" w:type="dxa"/>
          </w:tcPr>
          <w:p w14:paraId="666C1B60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6.2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If within the No Go Zone, is written permission available from the power supply company and have the lines been de energized?</w:t>
            </w:r>
          </w:p>
        </w:tc>
        <w:tc>
          <w:tcPr>
            <w:tcW w:w="850" w:type="dxa"/>
          </w:tcPr>
          <w:p w14:paraId="5C63195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60D0659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5D722A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959731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98B1503" w14:textId="77777777" w:rsidTr="00443CA0">
        <w:tc>
          <w:tcPr>
            <w:tcW w:w="4928" w:type="dxa"/>
          </w:tcPr>
          <w:p w14:paraId="07BDC266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6.3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electrical leads being restricted to the level they originate rather than being run from one scaffold level to another?</w:t>
            </w:r>
          </w:p>
        </w:tc>
        <w:tc>
          <w:tcPr>
            <w:tcW w:w="850" w:type="dxa"/>
          </w:tcPr>
          <w:p w14:paraId="15D7793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6528C6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7E1E9B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0D0138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37E84D6" w14:textId="77777777" w:rsidTr="00443CA0">
        <w:tc>
          <w:tcPr>
            <w:tcW w:w="4928" w:type="dxa"/>
          </w:tcPr>
          <w:p w14:paraId="17B1F98C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6.4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insulated hooks available so that leads are elevated rather than being in contact with any scaffold components such as handrails and ledgers, or wound around ties or couplers?</w:t>
            </w:r>
          </w:p>
        </w:tc>
        <w:tc>
          <w:tcPr>
            <w:tcW w:w="850" w:type="dxa"/>
          </w:tcPr>
          <w:p w14:paraId="21BF211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C652FC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10E760A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774B63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F9EFCEC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57BAFC6D" w14:textId="77777777" w:rsidR="00443CA0" w:rsidRPr="00C3422B" w:rsidRDefault="008360ED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 xml:space="preserve"> 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7. Containment sheeting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B72D70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FAF59C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5139F9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CDDAF6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82F1CC5" w14:textId="77777777" w:rsidTr="00443CA0">
        <w:tc>
          <w:tcPr>
            <w:tcW w:w="4928" w:type="dxa"/>
          </w:tcPr>
          <w:p w14:paraId="1159E944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7.1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Has the scaffold been designed for wind loading on any containment </w:t>
            </w:r>
            <w:proofErr w:type="gramStart"/>
            <w:r w:rsidRPr="00C3422B">
              <w:rPr>
                <w:rFonts w:cstheme="minorHAnsi"/>
                <w:color w:val="231F20"/>
                <w:sz w:val="20"/>
                <w:szCs w:val="20"/>
              </w:rPr>
              <w:t>sheeting(</w:t>
            </w:r>
            <w:proofErr w:type="gramEnd"/>
            <w:r w:rsidRPr="00C3422B">
              <w:rPr>
                <w:rFonts w:cstheme="minorHAnsi"/>
                <w:color w:val="231F20"/>
                <w:sz w:val="20"/>
                <w:szCs w:val="20"/>
              </w:rPr>
              <w:t>hoardings, wire mesh or shade cloth)?</w:t>
            </w:r>
          </w:p>
        </w:tc>
        <w:tc>
          <w:tcPr>
            <w:tcW w:w="850" w:type="dxa"/>
          </w:tcPr>
          <w:p w14:paraId="41568F2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0BF710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B604F3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8CCE9B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1B2EC95" w14:textId="77777777" w:rsidTr="00443CA0">
        <w:tc>
          <w:tcPr>
            <w:tcW w:w="4928" w:type="dxa"/>
          </w:tcPr>
          <w:p w14:paraId="726FA52E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lastRenderedPageBreak/>
              <w:t>7.2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Has sufficient sheeting or brick guards been provided to protect workers or members of the public that might be exposed to a risk of falling materials from the scaffold?</w:t>
            </w:r>
          </w:p>
        </w:tc>
        <w:tc>
          <w:tcPr>
            <w:tcW w:w="850" w:type="dxa"/>
          </w:tcPr>
          <w:p w14:paraId="4020B9F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28B141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6C8DBA1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42A315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313CFA1" w14:textId="77777777" w:rsidTr="00443CA0">
        <w:tc>
          <w:tcPr>
            <w:tcW w:w="4928" w:type="dxa"/>
          </w:tcPr>
          <w:p w14:paraId="382AE925" w14:textId="77777777" w:rsidR="00443CA0" w:rsidRPr="00C3422B" w:rsidRDefault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7.3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the fixing ties secure?</w:t>
            </w:r>
          </w:p>
        </w:tc>
        <w:tc>
          <w:tcPr>
            <w:tcW w:w="850" w:type="dxa"/>
          </w:tcPr>
          <w:p w14:paraId="613F023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943CBC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8EE1B3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196D91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7BD909C" w14:textId="77777777" w:rsidTr="00443CA0">
        <w:tc>
          <w:tcPr>
            <w:tcW w:w="4928" w:type="dxa"/>
          </w:tcPr>
          <w:p w14:paraId="6A111FD7" w14:textId="77777777" w:rsidR="00443CA0" w:rsidRPr="00C3422B" w:rsidRDefault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7.4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its integrity being maintained (no gaps, rips or tears)?</w:t>
            </w:r>
          </w:p>
        </w:tc>
        <w:tc>
          <w:tcPr>
            <w:tcW w:w="850" w:type="dxa"/>
          </w:tcPr>
          <w:p w14:paraId="2DFF587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7F1B38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E8059B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CFFADD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821EF20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6E6199A5" w14:textId="77777777" w:rsidR="00443CA0" w:rsidRPr="00C3422B" w:rsidRDefault="008360ED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</w:rPr>
              <w:t xml:space="preserve">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8. Perimeter edge protection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1503B2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DF992A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A7B911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17B095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486AEFA" w14:textId="77777777" w:rsidTr="00443CA0">
        <w:tc>
          <w:tcPr>
            <w:tcW w:w="4928" w:type="dxa"/>
          </w:tcPr>
          <w:p w14:paraId="08DF7206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8.1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handrails, mid</w:t>
            </w:r>
            <w:r w:rsidR="004B559D" w:rsidRPr="00C3422B">
              <w:rPr>
                <w:rFonts w:cstheme="minorHAnsi"/>
                <w:color w:val="EE1C24"/>
                <w:sz w:val="20"/>
                <w:szCs w:val="20"/>
              </w:rPr>
              <w:t>-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>rails and kick plates installed on all working decks and access platforms from which a person or object could fall 2m or more, and are they secure?</w:t>
            </w:r>
          </w:p>
        </w:tc>
        <w:tc>
          <w:tcPr>
            <w:tcW w:w="850" w:type="dxa"/>
          </w:tcPr>
          <w:p w14:paraId="7F260A0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15B6AB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B199C8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0980F1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A0FFA50" w14:textId="77777777" w:rsidTr="00443CA0">
        <w:tc>
          <w:tcPr>
            <w:tcW w:w="4928" w:type="dxa"/>
          </w:tcPr>
          <w:p w14:paraId="1DF3A8AE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8.2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Where the gap between the structure and the scaffold is more than 225mm, has edge protection been provided?</w:t>
            </w:r>
          </w:p>
        </w:tc>
        <w:tc>
          <w:tcPr>
            <w:tcW w:w="850" w:type="dxa"/>
          </w:tcPr>
          <w:p w14:paraId="279AE3D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C22A32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7D96A3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ACD1E4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F72D9AF" w14:textId="77777777" w:rsidTr="00443CA0">
        <w:tc>
          <w:tcPr>
            <w:tcW w:w="4928" w:type="dxa"/>
          </w:tcPr>
          <w:p w14:paraId="1202AB74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8.3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Where any changes to the structure have occurred (</w:t>
            </w:r>
            <w:proofErr w:type="spellStart"/>
            <w:r w:rsidRPr="00C3422B">
              <w:rPr>
                <w:rFonts w:cstheme="minorHAnsi"/>
                <w:color w:val="EE1C24"/>
                <w:sz w:val="20"/>
                <w:szCs w:val="20"/>
              </w:rPr>
              <w:t>eg</w:t>
            </w:r>
            <w:proofErr w:type="spellEnd"/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removal of formwork), is the gap between the structure and the scaffold still less than 225mm? If not, edge protection or hop-up brackets must be provided.</w:t>
            </w:r>
          </w:p>
        </w:tc>
        <w:tc>
          <w:tcPr>
            <w:tcW w:w="850" w:type="dxa"/>
          </w:tcPr>
          <w:p w14:paraId="0B78333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D50C58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EB6A70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031BED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9B28373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4415BC0F" w14:textId="77777777" w:rsidR="00443CA0" w:rsidRPr="00C3422B" w:rsidRDefault="008360ED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sz w:val="20"/>
                <w:szCs w:val="20"/>
                <w:lang w:val="en-AU"/>
              </w:rPr>
              <w:t xml:space="preserve">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9. Platforms / decks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0DC571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0069A0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850A62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5902563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E6F27D0" w14:textId="77777777" w:rsidTr="00443CA0">
        <w:tc>
          <w:tcPr>
            <w:tcW w:w="4928" w:type="dxa"/>
          </w:tcPr>
          <w:p w14:paraId="6069BC33" w14:textId="77777777" w:rsidR="00443CA0" w:rsidRPr="00C3422B" w:rsidRDefault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9.1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working platforms fully decked? (no gaps or missing boards / planks)</w:t>
            </w:r>
          </w:p>
        </w:tc>
        <w:tc>
          <w:tcPr>
            <w:tcW w:w="850" w:type="dxa"/>
          </w:tcPr>
          <w:p w14:paraId="5365E02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655C43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35434D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07CCA7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DA2E325" w14:textId="77777777" w:rsidTr="00443CA0">
        <w:tc>
          <w:tcPr>
            <w:tcW w:w="4928" w:type="dxa"/>
          </w:tcPr>
          <w:p w14:paraId="095763F5" w14:textId="77777777" w:rsidR="00443CA0" w:rsidRPr="00C3422B" w:rsidRDefault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9.2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all boards / planks secured against uplift from wind?</w:t>
            </w:r>
          </w:p>
        </w:tc>
        <w:tc>
          <w:tcPr>
            <w:tcW w:w="850" w:type="dxa"/>
          </w:tcPr>
          <w:p w14:paraId="78A2582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71E0D6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6F49B2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0F1219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834955D" w14:textId="77777777" w:rsidTr="00443CA0">
        <w:tc>
          <w:tcPr>
            <w:tcW w:w="4928" w:type="dxa"/>
          </w:tcPr>
          <w:p w14:paraId="3CF0BFE2" w14:textId="77777777" w:rsidR="00443CA0" w:rsidRPr="00C3422B" w:rsidRDefault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9.3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all planks uniform and in good condition? (no splits, cracks, knots or bends)</w:t>
            </w:r>
          </w:p>
        </w:tc>
        <w:tc>
          <w:tcPr>
            <w:tcW w:w="850" w:type="dxa"/>
          </w:tcPr>
          <w:p w14:paraId="7AFE18D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10BE4D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0570C4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680045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F0A01D1" w14:textId="77777777" w:rsidTr="00443CA0">
        <w:tc>
          <w:tcPr>
            <w:tcW w:w="4928" w:type="dxa"/>
          </w:tcPr>
          <w:p w14:paraId="7452FD5A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9.4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platforms free of obstructions? (electrical leads, building rubble and debris causing tripping hazards)</w:t>
            </w:r>
          </w:p>
        </w:tc>
        <w:tc>
          <w:tcPr>
            <w:tcW w:w="850" w:type="dxa"/>
          </w:tcPr>
          <w:p w14:paraId="2ECE6D7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04A4D2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D7F236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17E8D9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A379639" w14:textId="77777777" w:rsidTr="00443CA0">
        <w:tc>
          <w:tcPr>
            <w:tcW w:w="4928" w:type="dxa"/>
          </w:tcPr>
          <w:p w14:paraId="7DF4785A" w14:textId="77777777" w:rsidR="00443CA0" w:rsidRPr="00C3422B" w:rsidRDefault="008360ED" w:rsidP="008360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9.5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Where materials are stacked on platforms, is there sufficient access provided? (min. 450mm for persons and tools [2 planks], min 675mm wide for persons and materials [3 planks])</w:t>
            </w:r>
          </w:p>
        </w:tc>
        <w:tc>
          <w:tcPr>
            <w:tcW w:w="850" w:type="dxa"/>
          </w:tcPr>
          <w:p w14:paraId="26BA153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BCC0CC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6E134AE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52CFEC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5C6CCA0" w14:textId="77777777" w:rsidTr="00443CA0">
        <w:tc>
          <w:tcPr>
            <w:tcW w:w="4928" w:type="dxa"/>
          </w:tcPr>
          <w:p w14:paraId="218AF8E0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9.6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Where brick guards are used, are bricks or other material stacked below the height of the guardrail?</w:t>
            </w:r>
          </w:p>
        </w:tc>
        <w:tc>
          <w:tcPr>
            <w:tcW w:w="850" w:type="dxa"/>
          </w:tcPr>
          <w:p w14:paraId="6B7A7FF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558D0C3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1F1A64D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529B2AD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8D543ED" w14:textId="77777777" w:rsidTr="00443CA0">
        <w:tc>
          <w:tcPr>
            <w:tcW w:w="4928" w:type="dxa"/>
          </w:tcPr>
          <w:p w14:paraId="56A4E626" w14:textId="77777777" w:rsidR="00443CA0" w:rsidRPr="00C3422B" w:rsidRDefault="00120AF0" w:rsidP="008360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9.7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the loads on working platforms within their recommended design load?</w:t>
            </w:r>
          </w:p>
        </w:tc>
        <w:tc>
          <w:tcPr>
            <w:tcW w:w="850" w:type="dxa"/>
          </w:tcPr>
          <w:p w14:paraId="0F1E195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0BF212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F66D8D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79A630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E11F88B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289BD336" w14:textId="77777777" w:rsidR="00443CA0" w:rsidRPr="00C3422B" w:rsidRDefault="00120AF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10. Ties and connections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D0278A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2DCC90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B18403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7C6587A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DF785B9" w14:textId="77777777" w:rsidTr="00443CA0">
        <w:tc>
          <w:tcPr>
            <w:tcW w:w="4928" w:type="dxa"/>
          </w:tcPr>
          <w:p w14:paraId="7278D578" w14:textId="77777777" w:rsidR="00443CA0" w:rsidRPr="00C3422B" w:rsidRDefault="00120AF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10.1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 scaffold secured to the structure with ties?</w:t>
            </w:r>
          </w:p>
        </w:tc>
        <w:tc>
          <w:tcPr>
            <w:tcW w:w="850" w:type="dxa"/>
          </w:tcPr>
          <w:p w14:paraId="20A248C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0CCF525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895943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D64C57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7E329DE" w14:textId="77777777" w:rsidTr="00443CA0">
        <w:tc>
          <w:tcPr>
            <w:tcW w:w="4928" w:type="dxa"/>
          </w:tcPr>
          <w:p w14:paraId="2BD1E5D9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10.2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Are ties being maintained at roughly every 2nd lift vertically and every 3rd bay horizontally?</w:t>
            </w:r>
          </w:p>
        </w:tc>
        <w:tc>
          <w:tcPr>
            <w:tcW w:w="850" w:type="dxa"/>
          </w:tcPr>
          <w:p w14:paraId="2E6B6EE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6A8B63A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07B94B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004815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43C1686" w14:textId="77777777" w:rsidTr="00443CA0">
        <w:tc>
          <w:tcPr>
            <w:tcW w:w="4928" w:type="dxa"/>
          </w:tcPr>
          <w:p w14:paraId="10CA1CA1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10.3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Is the scaffold stable when standing on the top deck? If it shakes or doesn’t feel stable, chances are it isn’t.</w:t>
            </w:r>
          </w:p>
        </w:tc>
        <w:tc>
          <w:tcPr>
            <w:tcW w:w="850" w:type="dxa"/>
          </w:tcPr>
          <w:p w14:paraId="34B908B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3990C94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286460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7438DB2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28A3E90D" w14:textId="77777777" w:rsidTr="00443CA0">
        <w:tc>
          <w:tcPr>
            <w:tcW w:w="4928" w:type="dxa"/>
          </w:tcPr>
          <w:p w14:paraId="5038FBCE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10.4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there a system to ensure that if ties need to be removed or relocated, they are replaced in positions which maintain structural stability?</w:t>
            </w:r>
          </w:p>
        </w:tc>
        <w:tc>
          <w:tcPr>
            <w:tcW w:w="850" w:type="dxa"/>
          </w:tcPr>
          <w:p w14:paraId="3520E19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497BD3F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E80AB9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1942898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5845E4C" w14:textId="77777777" w:rsidTr="00443CA0">
        <w:tc>
          <w:tcPr>
            <w:tcW w:w="4928" w:type="dxa"/>
          </w:tcPr>
          <w:p w14:paraId="333050BF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EE1C24"/>
                <w:sz w:val="20"/>
                <w:szCs w:val="20"/>
              </w:rPr>
              <w:t>10.5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Where </w:t>
            </w:r>
            <w:proofErr w:type="spellStart"/>
            <w:r w:rsidRPr="00C3422B">
              <w:rPr>
                <w:rFonts w:cstheme="minorHAnsi"/>
                <w:color w:val="EE1C24"/>
                <w:sz w:val="20"/>
                <w:szCs w:val="20"/>
              </w:rPr>
              <w:t>Wedgelok</w:t>
            </w:r>
            <w:proofErr w:type="spellEnd"/>
            <w:r w:rsidRPr="00C3422B">
              <w:rPr>
                <w:rFonts w:cstheme="minorHAnsi"/>
                <w:color w:val="EE1C24"/>
                <w:sz w:val="20"/>
                <w:szCs w:val="20"/>
              </w:rPr>
              <w:t xml:space="preserve"> fixings are used, are wedges securely inserted into the connection? (handrail, mid</w:t>
            </w:r>
            <w:r w:rsidR="00D44CF1" w:rsidRPr="00C3422B">
              <w:rPr>
                <w:rFonts w:cstheme="minorHAnsi"/>
                <w:color w:val="EE1C24"/>
                <w:sz w:val="20"/>
                <w:szCs w:val="20"/>
              </w:rPr>
              <w:t>-</w:t>
            </w:r>
            <w:r w:rsidRPr="00C3422B">
              <w:rPr>
                <w:rFonts w:cstheme="minorHAnsi"/>
                <w:color w:val="EE1C24"/>
                <w:sz w:val="20"/>
                <w:szCs w:val="20"/>
              </w:rPr>
              <w:t>rail, transom &amp; ledger connections)</w:t>
            </w:r>
          </w:p>
        </w:tc>
        <w:tc>
          <w:tcPr>
            <w:tcW w:w="850" w:type="dxa"/>
          </w:tcPr>
          <w:p w14:paraId="5F966BA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28ABDAD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63F6BA9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B6179A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581FB617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32225BA8" w14:textId="77777777" w:rsidR="00443CA0" w:rsidRPr="00C3422B" w:rsidRDefault="00120AF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</w:rPr>
              <w:t xml:space="preserve">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11. Hop-up brackets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B2311E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B72848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3536FD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22F6261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BED68EC" w14:textId="77777777" w:rsidTr="00443CA0">
        <w:tc>
          <w:tcPr>
            <w:tcW w:w="4928" w:type="dxa"/>
          </w:tcPr>
          <w:p w14:paraId="53996E9D" w14:textId="77777777" w:rsidR="00443CA0" w:rsidRPr="00C3422B" w:rsidRDefault="00120AF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lastRenderedPageBreak/>
              <w:t>11.1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Where hop-up brackets are used are they on the inside face only?</w:t>
            </w:r>
          </w:p>
        </w:tc>
        <w:tc>
          <w:tcPr>
            <w:tcW w:w="850" w:type="dxa"/>
          </w:tcPr>
          <w:p w14:paraId="40356A35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5C383FA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4EFDA8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309FC24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E256F59" w14:textId="77777777" w:rsidTr="00443CA0">
        <w:tc>
          <w:tcPr>
            <w:tcW w:w="4928" w:type="dxa"/>
          </w:tcPr>
          <w:p w14:paraId="5DDF0FFB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11.3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they being maintained at no more than one V-pressing above or below the working platform?</w:t>
            </w:r>
          </w:p>
        </w:tc>
        <w:tc>
          <w:tcPr>
            <w:tcW w:w="850" w:type="dxa"/>
          </w:tcPr>
          <w:p w14:paraId="5174FFE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08A141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1C3181A9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3247F8E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33DC7F18" w14:textId="77777777" w:rsidTr="001F3730">
        <w:tc>
          <w:tcPr>
            <w:tcW w:w="4928" w:type="dxa"/>
            <w:shd w:val="clear" w:color="auto" w:fill="DBE5F1" w:themeFill="accent1" w:themeFillTint="33"/>
          </w:tcPr>
          <w:p w14:paraId="4D2D553D" w14:textId="77777777" w:rsidR="00443CA0" w:rsidRPr="00C3422B" w:rsidRDefault="00120AF0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sz w:val="20"/>
                <w:szCs w:val="20"/>
                <w:lang w:val="en-AU"/>
              </w:rPr>
              <w:t xml:space="preserve">         </w:t>
            </w:r>
            <w:r w:rsidRPr="00C3422B">
              <w:rPr>
                <w:rFonts w:cstheme="minorHAnsi"/>
                <w:b/>
                <w:sz w:val="20"/>
                <w:szCs w:val="20"/>
              </w:rPr>
              <w:t>12. Mobile scaffolds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F2BEFE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3A0777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E131F2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2E9F646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0DA63519" w14:textId="77777777" w:rsidTr="00443CA0">
        <w:tc>
          <w:tcPr>
            <w:tcW w:w="4928" w:type="dxa"/>
          </w:tcPr>
          <w:p w14:paraId="2D0478DD" w14:textId="77777777" w:rsidR="00443CA0" w:rsidRPr="00C3422B" w:rsidRDefault="00120AF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12.1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 supporting surface hard and flat?</w:t>
            </w:r>
          </w:p>
        </w:tc>
        <w:tc>
          <w:tcPr>
            <w:tcW w:w="850" w:type="dxa"/>
          </w:tcPr>
          <w:p w14:paraId="1F9D722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631210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5CCE1B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2FFCBB3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61E66280" w14:textId="77777777" w:rsidTr="00443CA0">
        <w:tc>
          <w:tcPr>
            <w:tcW w:w="4928" w:type="dxa"/>
          </w:tcPr>
          <w:p w14:paraId="3C4FC1F2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12.2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If the ground surface is unstable (on dirt, uneven ground, muddy or sloping surface) are boards or steel channels used?</w:t>
            </w:r>
          </w:p>
        </w:tc>
        <w:tc>
          <w:tcPr>
            <w:tcW w:w="850" w:type="dxa"/>
          </w:tcPr>
          <w:p w14:paraId="5AD02DC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7F798628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41C9C52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8A5F64B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1ACA3117" w14:textId="77777777" w:rsidTr="00443CA0">
        <w:tc>
          <w:tcPr>
            <w:tcW w:w="4928" w:type="dxa"/>
          </w:tcPr>
          <w:p w14:paraId="5E5DBEBC" w14:textId="77777777" w:rsidR="00443CA0" w:rsidRPr="00C3422B" w:rsidRDefault="00120AF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12.3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 area of operation free of floor penetrations, power lines and other hazards?</w:t>
            </w:r>
          </w:p>
        </w:tc>
        <w:tc>
          <w:tcPr>
            <w:tcW w:w="850" w:type="dxa"/>
          </w:tcPr>
          <w:p w14:paraId="4D6B244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225B02B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18851C2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4595B193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426E722B" w14:textId="77777777" w:rsidTr="00443CA0">
        <w:tc>
          <w:tcPr>
            <w:tcW w:w="4928" w:type="dxa"/>
          </w:tcPr>
          <w:p w14:paraId="59CA0D48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12.4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Are the castor wheel locks in working order and are they locked when workers are on the scaffold?</w:t>
            </w:r>
          </w:p>
        </w:tc>
        <w:tc>
          <w:tcPr>
            <w:tcW w:w="850" w:type="dxa"/>
          </w:tcPr>
          <w:p w14:paraId="376C5966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52AE7A8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0A9EF957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FD03ADA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1B22CC22" w14:textId="77777777" w:rsidTr="00443CA0">
        <w:tc>
          <w:tcPr>
            <w:tcW w:w="4928" w:type="dxa"/>
          </w:tcPr>
          <w:p w14:paraId="221EC592" w14:textId="77777777" w:rsidR="00443CA0" w:rsidRPr="00C3422B" w:rsidRDefault="00120AF0" w:rsidP="00120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12.5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Where the working platform is over 2m in height, are handrails, </w:t>
            </w:r>
            <w:proofErr w:type="spellStart"/>
            <w:r w:rsidRPr="00C3422B">
              <w:rPr>
                <w:rFonts w:cstheme="minorHAnsi"/>
                <w:color w:val="231F20"/>
                <w:sz w:val="20"/>
                <w:szCs w:val="20"/>
              </w:rPr>
              <w:t>midrails</w:t>
            </w:r>
            <w:proofErr w:type="spellEnd"/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and kick plates being maintained and is there internal ladder access provided?</w:t>
            </w:r>
          </w:p>
        </w:tc>
        <w:tc>
          <w:tcPr>
            <w:tcW w:w="850" w:type="dxa"/>
          </w:tcPr>
          <w:p w14:paraId="118E45B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1A161304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BE45280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613DCE5E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43CA0" w:rsidRPr="00C3422B" w14:paraId="782C7A9D" w14:textId="77777777" w:rsidTr="00443CA0">
        <w:tc>
          <w:tcPr>
            <w:tcW w:w="4928" w:type="dxa"/>
          </w:tcPr>
          <w:p w14:paraId="20FE01FB" w14:textId="77777777" w:rsidR="00443CA0" w:rsidRPr="00C3422B" w:rsidRDefault="00120AF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3422B">
              <w:rPr>
                <w:rFonts w:cstheme="minorHAnsi"/>
                <w:b/>
                <w:color w:val="231F20"/>
                <w:sz w:val="20"/>
                <w:szCs w:val="20"/>
              </w:rPr>
              <w:t>12.6</w:t>
            </w:r>
            <w:r w:rsidRPr="00C3422B">
              <w:rPr>
                <w:rFonts w:cstheme="minorHAnsi"/>
                <w:color w:val="231F20"/>
                <w:sz w:val="20"/>
                <w:szCs w:val="20"/>
              </w:rPr>
              <w:t xml:space="preserve"> Is the working deck complete? (no split decks)</w:t>
            </w:r>
          </w:p>
        </w:tc>
        <w:tc>
          <w:tcPr>
            <w:tcW w:w="850" w:type="dxa"/>
          </w:tcPr>
          <w:p w14:paraId="4B9EB48D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14:paraId="2281722C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B05B981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097" w:type="dxa"/>
          </w:tcPr>
          <w:p w14:paraId="05AA7A8F" w14:textId="77777777" w:rsidR="00443CA0" w:rsidRPr="00C3422B" w:rsidRDefault="00443CA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</w:tbl>
    <w:p w14:paraId="5D68E1DA" w14:textId="77777777" w:rsidR="00443CA0" w:rsidRPr="00C3422B" w:rsidRDefault="00443CA0">
      <w:pPr>
        <w:rPr>
          <w:rFonts w:cstheme="minorHAnsi"/>
          <w:sz w:val="20"/>
          <w:szCs w:val="20"/>
          <w:lang w:val="en-AU"/>
        </w:rPr>
      </w:pPr>
    </w:p>
    <w:p w14:paraId="1BAD5C1D" w14:textId="77777777" w:rsidR="00120AF0" w:rsidRPr="00C3422B" w:rsidRDefault="00120AF0">
      <w:pPr>
        <w:rPr>
          <w:rFonts w:cstheme="minorHAnsi"/>
          <w:sz w:val="20"/>
          <w:szCs w:val="20"/>
          <w:lang w:val="en-AU"/>
        </w:rPr>
      </w:pPr>
      <w:r w:rsidRPr="00C3422B">
        <w:rPr>
          <w:rFonts w:cstheme="minorHAnsi"/>
          <w:sz w:val="20"/>
          <w:szCs w:val="20"/>
          <w:lang w:val="en-AU"/>
        </w:rPr>
        <w:t>Further Comments and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377EF" w14:textId="77777777" w:rsidR="00120AF0" w:rsidRPr="00C3422B" w:rsidRDefault="00120AF0">
      <w:pPr>
        <w:rPr>
          <w:rFonts w:cstheme="minorHAnsi"/>
          <w:sz w:val="20"/>
          <w:szCs w:val="20"/>
          <w:lang w:val="en-AU"/>
        </w:rPr>
      </w:pPr>
      <w:r w:rsidRPr="00C3422B">
        <w:rPr>
          <w:rFonts w:cstheme="minorHAnsi"/>
          <w:sz w:val="20"/>
          <w:szCs w:val="20"/>
          <w:lang w:val="en-AU"/>
        </w:rPr>
        <w:t>Inspected by: __________________________________________________________________________</w:t>
      </w:r>
    </w:p>
    <w:p w14:paraId="540CFCE4" w14:textId="77777777" w:rsidR="00120AF0" w:rsidRPr="00C3422B" w:rsidRDefault="00120AF0">
      <w:pPr>
        <w:rPr>
          <w:rFonts w:cstheme="minorHAnsi"/>
          <w:sz w:val="20"/>
          <w:szCs w:val="20"/>
          <w:lang w:val="en-AU"/>
        </w:rPr>
      </w:pPr>
      <w:r w:rsidRPr="00C3422B">
        <w:rPr>
          <w:rFonts w:cstheme="minorHAnsi"/>
          <w:sz w:val="20"/>
          <w:szCs w:val="20"/>
          <w:lang w:val="en-AU"/>
        </w:rPr>
        <w:t>Date: ________________________________________________________________________________</w:t>
      </w:r>
    </w:p>
    <w:p w14:paraId="114E9458" w14:textId="77777777" w:rsidR="00120AF0" w:rsidRPr="00C3422B" w:rsidRDefault="00120AF0" w:rsidP="00120AF0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C3422B">
        <w:rPr>
          <w:rFonts w:cstheme="minorHAnsi"/>
          <w:color w:val="EE1C24"/>
          <w:sz w:val="20"/>
          <w:szCs w:val="20"/>
        </w:rPr>
        <w:t>If the answer is “No” to questions marked in red text</w:t>
      </w:r>
      <w:r w:rsidRPr="00C3422B">
        <w:rPr>
          <w:rFonts w:cstheme="minorHAnsi"/>
          <w:color w:val="231F20"/>
          <w:sz w:val="20"/>
          <w:szCs w:val="20"/>
        </w:rPr>
        <w:t>, then it is critical that the scaffold supply company is immediately called back to inspect the scaffold and make any required rectifications.</w:t>
      </w:r>
    </w:p>
    <w:p w14:paraId="0E9D9B76" w14:textId="77777777" w:rsidR="00120AF0" w:rsidRPr="00C3422B" w:rsidRDefault="00120AF0" w:rsidP="00120AF0">
      <w:pPr>
        <w:rPr>
          <w:rFonts w:cstheme="minorHAnsi"/>
          <w:sz w:val="20"/>
          <w:szCs w:val="20"/>
          <w:lang w:val="en-AU"/>
        </w:rPr>
      </w:pPr>
      <w:r w:rsidRPr="00C3422B">
        <w:rPr>
          <w:rFonts w:cstheme="minorHAnsi"/>
          <w:color w:val="231F20"/>
          <w:sz w:val="20"/>
          <w:szCs w:val="20"/>
        </w:rPr>
        <w:t>If the scaffold supply company needs to be called back to make any rectifications, ensure a new handover certificate is issued.</w:t>
      </w:r>
    </w:p>
    <w:sectPr w:rsidR="00120AF0" w:rsidRPr="00C3422B" w:rsidSect="005D22E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BDA1" w14:textId="77777777" w:rsidR="00C944F8" w:rsidRDefault="00C944F8" w:rsidP="007F2B51">
      <w:pPr>
        <w:spacing w:after="0" w:line="240" w:lineRule="auto"/>
      </w:pPr>
      <w:r>
        <w:separator/>
      </w:r>
    </w:p>
  </w:endnote>
  <w:endnote w:type="continuationSeparator" w:id="0">
    <w:p w14:paraId="2FFD61EC" w14:textId="77777777" w:rsidR="00C944F8" w:rsidRDefault="00C944F8" w:rsidP="007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E491" w14:textId="77777777" w:rsidR="00C944F8" w:rsidRDefault="00C944F8" w:rsidP="007F2B51">
      <w:pPr>
        <w:spacing w:after="0" w:line="240" w:lineRule="auto"/>
      </w:pPr>
      <w:r>
        <w:separator/>
      </w:r>
    </w:p>
  </w:footnote>
  <w:footnote w:type="continuationSeparator" w:id="0">
    <w:p w14:paraId="0C637B7E" w14:textId="77777777" w:rsidR="00C944F8" w:rsidRDefault="00C944F8" w:rsidP="007F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49CE" w14:textId="1986D37F" w:rsidR="007F2B51" w:rsidRPr="000F5EFA" w:rsidRDefault="00FC60D0">
    <w:pPr>
      <w:pStyle w:val="Header"/>
      <w:rPr>
        <w:color w:val="FFFFFF" w:themeColor="background1"/>
        <w:sz w:val="48"/>
        <w:szCs w:val="48"/>
        <w:lang w:val="en-AU"/>
      </w:rPr>
    </w:pPr>
    <w:r w:rsidRPr="000F5EFA">
      <w:rPr>
        <w:noProof/>
        <w:color w:val="FFFFFF" w:themeColor="background1"/>
        <w:sz w:val="48"/>
        <w:szCs w:val="48"/>
        <w:lang w:val="en-AU"/>
      </w:rPr>
      <w:drawing>
        <wp:anchor distT="0" distB="0" distL="114300" distR="114300" simplePos="0" relativeHeight="251659264" behindDoc="1" locked="0" layoutInCell="1" allowOverlap="1" wp14:anchorId="7FFEA4B5" wp14:editId="6701B1EE">
          <wp:simplePos x="0" y="0"/>
          <wp:positionH relativeFrom="page">
            <wp:posOffset>-33251</wp:posOffset>
          </wp:positionH>
          <wp:positionV relativeFrom="page">
            <wp:posOffset>16625</wp:posOffset>
          </wp:positionV>
          <wp:extent cx="7588308" cy="1138902"/>
          <wp:effectExtent l="1905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100 Master Builders Word 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08" cy="11389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0F5EFA" w:rsidRPr="000F5EFA">
      <w:rPr>
        <w:color w:val="FFFFFF" w:themeColor="background1"/>
        <w:sz w:val="48"/>
        <w:szCs w:val="48"/>
        <w:lang w:val="en-AU"/>
      </w:rPr>
      <w:t>Scaffolding Checklist</w:t>
    </w:r>
  </w:p>
  <w:p w14:paraId="646C5D71" w14:textId="77777777" w:rsidR="000F5EFA" w:rsidRPr="00FC60D0" w:rsidRDefault="000F5EFA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1667"/>
    <w:multiLevelType w:val="hybridMultilevel"/>
    <w:tmpl w:val="1A4E9AF2"/>
    <w:lvl w:ilvl="0" w:tplc="C7CED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A0"/>
    <w:rsid w:val="000F5EFA"/>
    <w:rsid w:val="00120AF0"/>
    <w:rsid w:val="00197D56"/>
    <w:rsid w:val="001F3730"/>
    <w:rsid w:val="00214665"/>
    <w:rsid w:val="003F516C"/>
    <w:rsid w:val="00420DD9"/>
    <w:rsid w:val="00443CA0"/>
    <w:rsid w:val="004B559D"/>
    <w:rsid w:val="004E71B9"/>
    <w:rsid w:val="005D22EF"/>
    <w:rsid w:val="007445F5"/>
    <w:rsid w:val="00754F53"/>
    <w:rsid w:val="007B005B"/>
    <w:rsid w:val="007F2B51"/>
    <w:rsid w:val="008360ED"/>
    <w:rsid w:val="00AC7705"/>
    <w:rsid w:val="00B3450B"/>
    <w:rsid w:val="00C3422B"/>
    <w:rsid w:val="00C944F8"/>
    <w:rsid w:val="00D44CF1"/>
    <w:rsid w:val="00E10E0A"/>
    <w:rsid w:val="00E518EA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8E30"/>
  <w15:docId w15:val="{2C32A77C-DA04-4A8F-9522-03D83A4F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51"/>
  </w:style>
  <w:style w:type="paragraph" w:styleId="Footer">
    <w:name w:val="footer"/>
    <w:basedOn w:val="Normal"/>
    <w:link w:val="FooterChar"/>
    <w:uiPriority w:val="99"/>
    <w:unhideWhenUsed/>
    <w:rsid w:val="007F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51"/>
  </w:style>
  <w:style w:type="paragraph" w:styleId="BalloonText">
    <w:name w:val="Balloon Text"/>
    <w:basedOn w:val="Normal"/>
    <w:link w:val="BalloonTextChar"/>
    <w:uiPriority w:val="99"/>
    <w:semiHidden/>
    <w:unhideWhenUsed/>
    <w:rsid w:val="007F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1"/>
    <w:rPr>
      <w:rFonts w:ascii="Tahoma" w:hAnsi="Tahoma" w:cs="Tahoma"/>
      <w:sz w:val="16"/>
      <w:szCs w:val="16"/>
    </w:rPr>
  </w:style>
  <w:style w:type="paragraph" w:customStyle="1" w:styleId="MBAVMajorHeadingWhite">
    <w:name w:val="MBAV Major Heading – White"/>
    <w:basedOn w:val="Normal"/>
    <w:link w:val="MBAVMajorHeadingWhiteChar"/>
    <w:rsid w:val="00FC60D0"/>
    <w:rPr>
      <w:rFonts w:ascii="Verdana" w:eastAsiaTheme="minorEastAsia" w:hAnsi="Verdana"/>
      <w:b/>
      <w:color w:val="FFFFFF" w:themeColor="background1"/>
      <w:sz w:val="48"/>
      <w:szCs w:val="40"/>
      <w:lang w:val="en-AU" w:eastAsia="en-AU"/>
    </w:rPr>
  </w:style>
  <w:style w:type="character" w:customStyle="1" w:styleId="MBAVMajorHeadingWhiteChar">
    <w:name w:val="MBAV Major Heading – White Char"/>
    <w:basedOn w:val="DefaultParagraphFont"/>
    <w:link w:val="MBAVMajorHeadingWhite"/>
    <w:rsid w:val="00FC60D0"/>
    <w:rPr>
      <w:rFonts w:ascii="Verdana" w:eastAsiaTheme="minorEastAsia" w:hAnsi="Verdana"/>
      <w:b/>
      <w:color w:val="FFFFFF" w:themeColor="background1"/>
      <w:sz w:val="48"/>
      <w:szCs w:val="4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Builders Association of Victoria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Chris Kulesza</cp:lastModifiedBy>
  <cp:revision>2</cp:revision>
  <cp:lastPrinted>2019-06-26T00:25:00Z</cp:lastPrinted>
  <dcterms:created xsi:type="dcterms:W3CDTF">2020-04-15T03:00:00Z</dcterms:created>
  <dcterms:modified xsi:type="dcterms:W3CDTF">2020-04-15T03:00:00Z</dcterms:modified>
</cp:coreProperties>
</file>